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6926B1"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形态学实验室电脑服务器</w:t>
      </w:r>
      <w:r w:rsidR="006F5E08" w:rsidRPr="006C1FBF">
        <w:rPr>
          <w:rFonts w:ascii="微软雅黑" w:hAnsi="微软雅黑" w:cs="宋体" w:hint="eastAsia"/>
          <w:b/>
          <w:bCs/>
          <w:sz w:val="30"/>
          <w:szCs w:val="30"/>
        </w:rPr>
        <w:t>设备招（</w:t>
      </w:r>
      <w:r>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757A9C">
        <w:rPr>
          <w:rFonts w:ascii="宋体" w:eastAsia="宋体" w:hAnsi="宋体" w:cs="宋体" w:hint="eastAsia"/>
          <w:color w:val="222222"/>
          <w:sz w:val="24"/>
          <w:szCs w:val="24"/>
        </w:rPr>
        <w:t>形态学</w:t>
      </w:r>
      <w:r w:rsidRPr="00D8050A">
        <w:rPr>
          <w:rFonts w:ascii="宋体" w:eastAsia="宋体" w:hAnsi="宋体" w:cs="宋体" w:hint="eastAsia"/>
          <w:color w:val="222222"/>
          <w:sz w:val="24"/>
          <w:szCs w:val="24"/>
        </w:rPr>
        <w:t>实验室</w:t>
      </w:r>
      <w:r w:rsidR="00757A9C">
        <w:rPr>
          <w:rFonts w:ascii="宋体" w:eastAsia="宋体" w:hAnsi="宋体" w:cs="宋体" w:hint="eastAsia"/>
          <w:color w:val="222222"/>
          <w:sz w:val="24"/>
          <w:szCs w:val="24"/>
        </w:rPr>
        <w:t>电脑服务器</w:t>
      </w:r>
      <w:r w:rsidRPr="00D8050A">
        <w:rPr>
          <w:rFonts w:ascii="宋体" w:eastAsia="宋体" w:hAnsi="宋体" w:cs="宋体" w:hint="eastAsia"/>
          <w:color w:val="222222"/>
          <w:sz w:val="24"/>
          <w:szCs w:val="24"/>
        </w:rPr>
        <w:t>设备</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6F5E08">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w:t>
      </w:r>
    </w:p>
    <w:p w:rsidR="006F5E08" w:rsidRPr="00D8050A" w:rsidRDefault="006F5E08" w:rsidP="006F5E08">
      <w:pPr>
        <w:adjustRightInd/>
        <w:snapToGrid/>
        <w:spacing w:after="0" w:line="440" w:lineRule="atLeast"/>
        <w:ind w:left="225"/>
        <w:rPr>
          <w:rFonts w:ascii="宋体" w:eastAsia="宋体" w:hAnsi="宋体" w:cs="宋体"/>
          <w:color w:val="333333"/>
          <w:sz w:val="24"/>
          <w:szCs w:val="24"/>
        </w:rPr>
      </w:pPr>
      <w:r w:rsidRPr="00D8050A">
        <w:rPr>
          <w:rFonts w:ascii="宋体" w:eastAsia="宋体" w:hAnsi="宋体" w:cs="宋体" w:hint="eastAsia"/>
          <w:color w:val="222222"/>
          <w:sz w:val="24"/>
          <w:szCs w:val="24"/>
        </w:rPr>
        <w:t>意见及投标供货商的基本情况、信誉、设备报价、技术支持、服务承诺等确定中标供货商；</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AB0882" w:rsidP="006F5E08">
      <w:pPr>
        <w:adjustRightInd/>
        <w:snapToGrid/>
        <w:spacing w:after="0" w:line="440" w:lineRule="atLeast"/>
        <w:ind w:firstLine="560"/>
        <w:rPr>
          <w:rFonts w:ascii="宋体" w:eastAsia="宋体" w:hAnsi="宋体" w:cs="宋体"/>
          <w:color w:val="333333"/>
          <w:sz w:val="24"/>
          <w:szCs w:val="24"/>
        </w:rPr>
      </w:pPr>
      <w:r>
        <w:rPr>
          <w:rFonts w:ascii="宋体" w:eastAsia="宋体" w:hAnsi="宋体" w:cs="宋体" w:hint="eastAsia"/>
          <w:color w:val="222222"/>
          <w:sz w:val="24"/>
          <w:szCs w:val="24"/>
        </w:rPr>
        <w:t>云南大学旅游文化学院形态学</w:t>
      </w:r>
      <w:r w:rsidR="006F5E08" w:rsidRPr="00D8050A">
        <w:rPr>
          <w:rFonts w:ascii="宋体" w:eastAsia="宋体" w:hAnsi="宋体" w:cs="宋体" w:hint="eastAsia"/>
          <w:color w:val="222222"/>
          <w:sz w:val="24"/>
          <w:szCs w:val="24"/>
        </w:rPr>
        <w:t>实验室现状：计划建设两间实验室，</w:t>
      </w:r>
    </w:p>
    <w:p w:rsidR="006F5E08" w:rsidRPr="00D8050A" w:rsidRDefault="00AB0882" w:rsidP="006F5E08">
      <w:pPr>
        <w:adjustRightInd/>
        <w:snapToGrid/>
        <w:spacing w:after="0" w:line="440" w:lineRule="atLeast"/>
        <w:rPr>
          <w:rFonts w:ascii="宋体" w:eastAsia="宋体" w:hAnsi="宋体" w:cs="宋体"/>
          <w:color w:val="333333"/>
          <w:sz w:val="24"/>
          <w:szCs w:val="24"/>
        </w:rPr>
      </w:pPr>
      <w:r>
        <w:rPr>
          <w:rFonts w:ascii="宋体" w:eastAsia="宋体" w:hAnsi="宋体" w:cs="宋体" w:hint="eastAsia"/>
          <w:color w:val="222222"/>
          <w:sz w:val="24"/>
          <w:szCs w:val="24"/>
        </w:rPr>
        <w:t>新</w:t>
      </w:r>
      <w:r w:rsidR="006F5E08" w:rsidRPr="00D8050A">
        <w:rPr>
          <w:rFonts w:ascii="宋体" w:eastAsia="宋体" w:hAnsi="宋体" w:cs="宋体" w:hint="eastAsia"/>
          <w:color w:val="222222"/>
          <w:sz w:val="24"/>
          <w:szCs w:val="24"/>
        </w:rPr>
        <w:t>安装</w:t>
      </w:r>
      <w:r>
        <w:rPr>
          <w:rFonts w:ascii="宋体" w:eastAsia="宋体" w:hAnsi="宋体" w:cs="宋体" w:hint="eastAsia"/>
          <w:color w:val="222222"/>
          <w:sz w:val="24"/>
          <w:szCs w:val="24"/>
        </w:rPr>
        <w:t>30</w:t>
      </w:r>
      <w:r w:rsidR="006F5E08" w:rsidRPr="00D8050A">
        <w:rPr>
          <w:rFonts w:ascii="宋体" w:eastAsia="宋体" w:hAnsi="宋体" w:cs="宋体" w:hint="eastAsia"/>
          <w:color w:val="222222"/>
          <w:sz w:val="24"/>
          <w:szCs w:val="24"/>
        </w:rPr>
        <w:t>台学生机，</w:t>
      </w:r>
      <w:r>
        <w:rPr>
          <w:rFonts w:ascii="宋体" w:eastAsia="宋体" w:hAnsi="宋体" w:cs="宋体" w:hint="eastAsia"/>
          <w:color w:val="222222"/>
          <w:sz w:val="24"/>
          <w:szCs w:val="24"/>
        </w:rPr>
        <w:t>2</w:t>
      </w:r>
      <w:r w:rsidR="006F5E08" w:rsidRPr="00D8050A">
        <w:rPr>
          <w:rFonts w:ascii="宋体" w:eastAsia="宋体" w:hAnsi="宋体" w:cs="宋体" w:hint="eastAsia"/>
          <w:color w:val="222222"/>
          <w:sz w:val="24"/>
          <w:szCs w:val="24"/>
        </w:rPr>
        <w:t>台教师机。</w:t>
      </w:r>
    </w:p>
    <w:p w:rsidR="006F5E08" w:rsidRPr="00D8050A" w:rsidRDefault="00AB0882" w:rsidP="006F5E08">
      <w:pPr>
        <w:adjustRightInd/>
        <w:snapToGrid/>
        <w:spacing w:after="0" w:line="440" w:lineRule="atLeast"/>
        <w:ind w:firstLine="560"/>
        <w:rPr>
          <w:rFonts w:ascii="宋体" w:eastAsia="宋体" w:hAnsi="宋体" w:cs="宋体"/>
          <w:color w:val="333333"/>
          <w:sz w:val="24"/>
          <w:szCs w:val="24"/>
        </w:rPr>
      </w:pPr>
      <w:r>
        <w:rPr>
          <w:rFonts w:ascii="宋体" w:eastAsia="宋体" w:hAnsi="宋体" w:cs="宋体" w:hint="eastAsia"/>
          <w:color w:val="222222"/>
          <w:sz w:val="24"/>
          <w:szCs w:val="24"/>
        </w:rPr>
        <w:t>206教室</w:t>
      </w:r>
      <w:r w:rsidR="006F5E08" w:rsidRPr="00D8050A">
        <w:rPr>
          <w:rFonts w:ascii="宋体" w:eastAsia="宋体" w:hAnsi="宋体" w:cs="宋体" w:hint="eastAsia"/>
          <w:color w:val="222222"/>
          <w:sz w:val="24"/>
          <w:szCs w:val="24"/>
        </w:rPr>
        <w:t>现有</w:t>
      </w:r>
      <w:r>
        <w:rPr>
          <w:rFonts w:ascii="宋体" w:eastAsia="宋体" w:hAnsi="宋体" w:cs="宋体" w:hint="eastAsia"/>
          <w:color w:val="222222"/>
          <w:sz w:val="24"/>
          <w:szCs w:val="24"/>
        </w:rPr>
        <w:t>30</w:t>
      </w:r>
      <w:r w:rsidR="006F5E08" w:rsidRPr="00D8050A">
        <w:rPr>
          <w:rFonts w:ascii="宋体" w:eastAsia="宋体" w:hAnsi="宋体" w:cs="宋体" w:hint="eastAsia"/>
          <w:color w:val="222222"/>
          <w:sz w:val="24"/>
          <w:szCs w:val="24"/>
        </w:rPr>
        <w:t>座桌子，多媒体设备1套，在此基础上建设</w:t>
      </w:r>
      <w:r>
        <w:rPr>
          <w:rFonts w:ascii="宋体" w:eastAsia="宋体" w:hAnsi="宋体" w:cs="宋体" w:hint="eastAsia"/>
          <w:color w:val="222222"/>
          <w:sz w:val="24"/>
          <w:szCs w:val="24"/>
        </w:rPr>
        <w:t>30</w:t>
      </w:r>
      <w:r w:rsidR="006F5E08" w:rsidRPr="00D8050A">
        <w:rPr>
          <w:rFonts w:ascii="宋体" w:eastAsia="宋体" w:hAnsi="宋体" w:cs="宋体" w:hint="eastAsia"/>
          <w:color w:val="222222"/>
          <w:sz w:val="24"/>
          <w:szCs w:val="24"/>
        </w:rPr>
        <w:t>台学生机、</w:t>
      </w:r>
      <w:r>
        <w:rPr>
          <w:rFonts w:ascii="宋体" w:eastAsia="宋体" w:hAnsi="宋体" w:cs="宋体" w:hint="eastAsia"/>
          <w:color w:val="222222"/>
          <w:sz w:val="24"/>
          <w:szCs w:val="24"/>
        </w:rPr>
        <w:t>2</w:t>
      </w:r>
      <w:r w:rsidR="006F5E08" w:rsidRPr="00D8050A">
        <w:rPr>
          <w:rFonts w:ascii="宋体" w:eastAsia="宋体" w:hAnsi="宋体" w:cs="宋体" w:hint="eastAsia"/>
          <w:color w:val="222222"/>
          <w:sz w:val="24"/>
          <w:szCs w:val="24"/>
        </w:rPr>
        <w:t>台教师机。</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0"/>
        <w:gridCol w:w="1024"/>
        <w:gridCol w:w="5890"/>
        <w:gridCol w:w="815"/>
        <w:gridCol w:w="1536"/>
      </w:tblGrid>
      <w:tr w:rsidR="006F5E08" w:rsidRPr="00D8050A" w:rsidTr="00791BBD">
        <w:trPr>
          <w:trHeight w:val="474"/>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pacing w:val="20"/>
                <w:sz w:val="24"/>
                <w:szCs w:val="24"/>
              </w:rPr>
              <w:t>序号</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pacing w:val="20"/>
                <w:sz w:val="24"/>
                <w:szCs w:val="24"/>
              </w:rPr>
              <w:t>名称</w:t>
            </w:r>
          </w:p>
        </w:tc>
        <w:tc>
          <w:tcPr>
            <w:tcW w:w="589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pacing w:val="20"/>
                <w:sz w:val="24"/>
                <w:szCs w:val="24"/>
              </w:rPr>
              <w:t>配置要求（参考）</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pacing w:val="20"/>
                <w:sz w:val="24"/>
                <w:szCs w:val="24"/>
              </w:rPr>
              <w:t>数量</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pacing w:val="20"/>
                <w:sz w:val="24"/>
                <w:szCs w:val="24"/>
              </w:rPr>
              <w:t>品牌要求</w:t>
            </w:r>
          </w:p>
        </w:tc>
      </w:tr>
      <w:tr w:rsidR="006F5E08" w:rsidRPr="00D8050A" w:rsidTr="00791BBD">
        <w:trPr>
          <w:trHeight w:val="4868"/>
          <w:jc w:val="center"/>
        </w:trPr>
        <w:tc>
          <w:tcPr>
            <w:tcW w:w="860" w:type="dxa"/>
            <w:vMerge w:val="restart"/>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lastRenderedPageBreak/>
              <w:t>1</w:t>
            </w:r>
          </w:p>
        </w:tc>
        <w:tc>
          <w:tcPr>
            <w:tcW w:w="1024" w:type="dxa"/>
            <w:vMerge w:val="restart"/>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学生端计算机</w:t>
            </w:r>
          </w:p>
        </w:tc>
        <w:tc>
          <w:tcPr>
            <w:tcW w:w="5890" w:type="dxa"/>
            <w:shd w:val="clear" w:color="auto" w:fill="auto"/>
            <w:tcMar>
              <w:top w:w="0" w:type="dxa"/>
              <w:left w:w="108" w:type="dxa"/>
              <w:bottom w:w="0" w:type="dxa"/>
              <w:right w:w="108" w:type="dxa"/>
            </w:tcMar>
            <w:hideMark/>
          </w:tcPr>
          <w:p w:rsidR="006F5E08" w:rsidRPr="00D8050A" w:rsidRDefault="00B6630D" w:rsidP="00CD41E3">
            <w:pPr>
              <w:shd w:val="clear" w:color="auto" w:fill="FFFFFF"/>
              <w:adjustRightInd/>
              <w:snapToGrid/>
              <w:spacing w:after="0" w:line="440" w:lineRule="atLeast"/>
              <w:rPr>
                <w:rFonts w:ascii="宋体" w:eastAsia="宋体" w:hAnsi="宋体" w:cs="宋体"/>
                <w:sz w:val="24"/>
                <w:szCs w:val="24"/>
              </w:rPr>
            </w:pPr>
            <w:r>
              <w:rPr>
                <w:rFonts w:ascii="宋体" w:eastAsia="宋体" w:hAnsi="宋体" w:cs="宋体" w:hint="eastAsia"/>
                <w:color w:val="222222"/>
                <w:sz w:val="24"/>
                <w:szCs w:val="24"/>
              </w:rPr>
              <w:t>206</w:t>
            </w:r>
            <w:r w:rsidR="006F5E08" w:rsidRPr="00D8050A">
              <w:rPr>
                <w:rFonts w:ascii="宋体" w:eastAsia="宋体" w:hAnsi="宋体" w:cs="宋体" w:hint="eastAsia"/>
                <w:color w:val="222222"/>
                <w:sz w:val="24"/>
                <w:szCs w:val="24"/>
              </w:rPr>
              <w:t>房间</w:t>
            </w:r>
            <w:r>
              <w:rPr>
                <w:rFonts w:ascii="宋体" w:eastAsia="宋体" w:hAnsi="宋体" w:cs="宋体" w:hint="eastAsia"/>
                <w:color w:val="222222"/>
                <w:sz w:val="24"/>
                <w:szCs w:val="24"/>
              </w:rPr>
              <w:t>32</w:t>
            </w:r>
            <w:r w:rsidR="006F5E08" w:rsidRPr="00D8050A">
              <w:rPr>
                <w:rFonts w:ascii="宋体" w:eastAsia="宋体" w:hAnsi="宋体" w:cs="宋体" w:hint="eastAsia"/>
                <w:color w:val="222222"/>
                <w:sz w:val="24"/>
                <w:szCs w:val="24"/>
              </w:rPr>
              <w:t>台计算机按照</w:t>
            </w:r>
            <w:r w:rsidR="00CC572E">
              <w:rPr>
                <w:rFonts w:ascii="宋体" w:eastAsia="宋体" w:hAnsi="宋体" w:cs="宋体" w:hint="eastAsia"/>
                <w:color w:val="222222"/>
                <w:sz w:val="24"/>
                <w:szCs w:val="24"/>
              </w:rPr>
              <w:t>同传</w:t>
            </w:r>
            <w:r w:rsidR="006F5E08" w:rsidRPr="00D8050A">
              <w:rPr>
                <w:rFonts w:ascii="宋体" w:eastAsia="宋体" w:hAnsi="宋体" w:cs="宋体" w:hint="eastAsia"/>
                <w:color w:val="222222"/>
                <w:sz w:val="24"/>
                <w:szCs w:val="24"/>
              </w:rPr>
              <w:t>模式进行建设，要求能运行如下软件：</w:t>
            </w:r>
          </w:p>
          <w:tbl>
            <w:tblPr>
              <w:tblpPr w:leftFromText="180" w:rightFromText="180" w:topFromText="55" w:bottomFromText="55" w:vertAnchor="text"/>
              <w:tblW w:w="5519" w:type="dxa"/>
              <w:tblInd w:w="2" w:type="dxa"/>
              <w:tblCellMar>
                <w:left w:w="0" w:type="dxa"/>
                <w:right w:w="0" w:type="dxa"/>
              </w:tblCellMar>
              <w:tblLook w:val="04A0"/>
            </w:tblPr>
            <w:tblGrid>
              <w:gridCol w:w="5519"/>
            </w:tblGrid>
            <w:tr w:rsidR="00CC572E" w:rsidRPr="00D8050A" w:rsidTr="00CC572E">
              <w:trPr>
                <w:trHeight w:val="270"/>
              </w:trPr>
              <w:tc>
                <w:tcPr>
                  <w:tcW w:w="5519"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000000"/>
                      <w:sz w:val="24"/>
                      <w:szCs w:val="24"/>
                    </w:rPr>
                    <w:t>软件</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Pr>
                      <w:rFonts w:ascii="宋体" w:eastAsia="宋体" w:hAnsi="宋体" w:cs="宋体" w:hint="eastAsia"/>
                      <w:sz w:val="24"/>
                      <w:szCs w:val="24"/>
                    </w:rPr>
                    <w:t>Java ，Java development kit</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000000"/>
                      <w:sz w:val="24"/>
                      <w:szCs w:val="24"/>
                    </w:rPr>
                    <w:t>Photoshop</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Pr>
                      <w:rFonts w:ascii="宋体" w:eastAsia="宋体" w:hAnsi="宋体" w:cs="宋体" w:hint="eastAsia"/>
                      <w:color w:val="000000"/>
                      <w:sz w:val="24"/>
                      <w:szCs w:val="24"/>
                    </w:rPr>
                    <w:t>组织切片数据展示软件接口端</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000000"/>
                      <w:sz w:val="24"/>
                      <w:szCs w:val="24"/>
                    </w:rPr>
                    <w:t>SQL</w:t>
                  </w:r>
                  <w:r>
                    <w:rPr>
                      <w:rFonts w:ascii="宋体" w:eastAsia="宋体" w:hAnsi="宋体" w:cs="宋体" w:hint="eastAsia"/>
                      <w:color w:val="000000"/>
                      <w:sz w:val="24"/>
                      <w:szCs w:val="24"/>
                    </w:rPr>
                    <w:t xml:space="preserve">  server 2008</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Pr>
                      <w:rFonts w:ascii="宋体" w:eastAsia="宋体" w:hAnsi="宋体" w:cs="宋体"/>
                      <w:color w:val="000000"/>
                      <w:sz w:val="24"/>
                      <w:szCs w:val="24"/>
                    </w:rPr>
                    <w:t>V</w:t>
                  </w:r>
                  <w:r>
                    <w:rPr>
                      <w:rFonts w:ascii="宋体" w:eastAsia="宋体" w:hAnsi="宋体" w:cs="宋体" w:hint="eastAsia"/>
                      <w:color w:val="000000"/>
                      <w:sz w:val="24"/>
                      <w:szCs w:val="24"/>
                    </w:rPr>
                    <w:t>isual studio 2010</w:t>
                  </w:r>
                </w:p>
              </w:tc>
            </w:tr>
            <w:tr w:rsidR="00CC572E" w:rsidRPr="00D8050A" w:rsidTr="00CC572E">
              <w:trPr>
                <w:trHeight w:val="270"/>
              </w:trPr>
              <w:tc>
                <w:tcPr>
                  <w:tcW w:w="5519" w:type="dxa"/>
                  <w:tcBorders>
                    <w:top w:val="outset" w:sz="6" w:space="0" w:color="F0F0F0"/>
                    <w:left w:val="outset" w:sz="6" w:space="0" w:color="F0F0F0"/>
                    <w:bottom w:val="outset" w:sz="6" w:space="0" w:color="F0F0F0"/>
                    <w:right w:val="single" w:sz="8" w:space="0" w:color="auto"/>
                  </w:tcBorders>
                  <w:shd w:val="clear" w:color="auto" w:fill="auto"/>
                  <w:noWrap/>
                  <w:tcMar>
                    <w:top w:w="0" w:type="dxa"/>
                    <w:left w:w="108" w:type="dxa"/>
                    <w:bottom w:w="0" w:type="dxa"/>
                    <w:right w:w="108" w:type="dxa"/>
                  </w:tcMar>
                  <w:vAlign w:val="center"/>
                  <w:hideMark/>
                </w:tcPr>
                <w:p w:rsidR="00CC572E" w:rsidRPr="00D8050A" w:rsidRDefault="00CC572E" w:rsidP="00CD41E3">
                  <w:pPr>
                    <w:adjustRightInd/>
                    <w:snapToGrid/>
                    <w:spacing w:after="0" w:line="440" w:lineRule="atLeast"/>
                    <w:rPr>
                      <w:rFonts w:ascii="宋体" w:eastAsia="宋体" w:hAnsi="宋体" w:cs="宋体"/>
                      <w:sz w:val="24"/>
                      <w:szCs w:val="24"/>
                    </w:rPr>
                  </w:pPr>
                  <w:r>
                    <w:rPr>
                      <w:rFonts w:ascii="宋体" w:hAnsi="宋体" w:hint="eastAsia"/>
                      <w:szCs w:val="21"/>
                    </w:rPr>
                    <w:t>形态学数字化教学系统</w:t>
                  </w:r>
                </w:p>
              </w:tc>
            </w:tr>
            <w:tr w:rsidR="00CC572E" w:rsidRPr="00D8050A" w:rsidTr="00CC572E">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C572E" w:rsidRDefault="00CC572E" w:rsidP="00CD41E3">
                  <w:pPr>
                    <w:adjustRightInd/>
                    <w:snapToGrid/>
                    <w:spacing w:after="0" w:line="440" w:lineRule="atLeast"/>
                    <w:rPr>
                      <w:rFonts w:ascii="宋体" w:eastAsia="宋体" w:hAnsi="宋体" w:cs="宋体"/>
                      <w:color w:val="000000"/>
                      <w:sz w:val="24"/>
                      <w:szCs w:val="24"/>
                    </w:rPr>
                  </w:pPr>
                  <w:r>
                    <w:rPr>
                      <w:rFonts w:ascii="宋体" w:hAnsi="宋体" w:hint="eastAsia"/>
                      <w:szCs w:val="21"/>
                    </w:rPr>
                    <w:t>数字显微图像处理系统</w:t>
                  </w:r>
                </w:p>
              </w:tc>
            </w:tr>
          </w:tbl>
          <w:p w:rsidR="006F5E08" w:rsidRPr="00B6630D" w:rsidRDefault="006F5E08" w:rsidP="00CD41E3">
            <w:pPr>
              <w:shd w:val="clear" w:color="auto" w:fill="FFFFFF"/>
              <w:adjustRightInd/>
              <w:snapToGrid/>
              <w:spacing w:after="0" w:line="440" w:lineRule="atLeast"/>
              <w:ind w:left="360" w:hanging="360"/>
              <w:rPr>
                <w:rFonts w:ascii="宋体" w:eastAsia="宋体" w:hAnsi="宋体" w:cs="宋体"/>
                <w:sz w:val="24"/>
                <w:szCs w:val="24"/>
              </w:rPr>
            </w:pPr>
            <w:r w:rsidRPr="00B6630D">
              <w:rPr>
                <w:rFonts w:ascii="宋体" w:eastAsia="宋体" w:hAnsi="宋体" w:cs="宋体" w:hint="eastAsia"/>
                <w:color w:val="222222"/>
                <w:sz w:val="24"/>
                <w:szCs w:val="24"/>
              </w:rPr>
              <w:t>1、内存</w:t>
            </w:r>
            <w:r w:rsidR="00B6630D" w:rsidRPr="00B6630D">
              <w:rPr>
                <w:rFonts w:ascii="宋体" w:eastAsia="宋体" w:hAnsi="宋体" w:cs="宋体" w:hint="eastAsia"/>
                <w:color w:val="222222"/>
                <w:sz w:val="24"/>
                <w:szCs w:val="24"/>
              </w:rPr>
              <w:t xml:space="preserve"> DDR4 </w:t>
            </w:r>
            <w:r w:rsidRPr="00B6630D">
              <w:rPr>
                <w:rFonts w:ascii="宋体" w:eastAsia="宋体" w:hAnsi="宋体" w:cs="宋体" w:hint="eastAsia"/>
                <w:color w:val="222222"/>
                <w:sz w:val="24"/>
                <w:szCs w:val="24"/>
              </w:rPr>
              <w:t>8G</w:t>
            </w:r>
          </w:p>
          <w:p w:rsidR="006F5E08" w:rsidRPr="00B6630D" w:rsidRDefault="006F5E08" w:rsidP="00CD41E3">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2、</w:t>
            </w:r>
            <w:r w:rsidR="00B6630D" w:rsidRPr="00B6630D">
              <w:rPr>
                <w:rFonts w:ascii="宋体" w:eastAsia="宋体" w:hAnsi="宋体" w:cs="宋体" w:hint="eastAsia"/>
                <w:color w:val="222222"/>
                <w:sz w:val="24"/>
                <w:szCs w:val="24"/>
              </w:rPr>
              <w:t xml:space="preserve">CPU Intel </w:t>
            </w:r>
            <w:r w:rsidR="00B6630D" w:rsidRPr="00B6630D">
              <w:rPr>
                <w:rFonts w:ascii="宋体" w:eastAsia="宋体" w:hAnsi="宋体" w:hint="eastAsia"/>
                <w:sz w:val="24"/>
                <w:szCs w:val="24"/>
              </w:rPr>
              <w:t>I5 6500</w:t>
            </w:r>
          </w:p>
          <w:p w:rsidR="00B6630D" w:rsidRPr="00B6630D" w:rsidRDefault="00B6630D" w:rsidP="00CD41E3">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3、主板 可满足</w:t>
            </w:r>
            <w:r w:rsidRPr="00B6630D">
              <w:rPr>
                <w:rFonts w:ascii="宋体" w:eastAsia="宋体" w:hAnsi="宋体" w:hint="eastAsia"/>
                <w:sz w:val="24"/>
                <w:szCs w:val="24"/>
              </w:rPr>
              <w:t>Intel 10</w:t>
            </w:r>
          </w:p>
          <w:p w:rsidR="00B6630D" w:rsidRPr="00B6630D" w:rsidRDefault="00B6630D" w:rsidP="00CD41E3">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4、独显  2G，</w:t>
            </w:r>
            <w:r w:rsidRPr="00B6630D">
              <w:rPr>
                <w:rFonts w:ascii="宋体" w:eastAsia="宋体" w:hAnsi="宋体" w:hint="eastAsia"/>
                <w:sz w:val="24"/>
                <w:szCs w:val="24"/>
              </w:rPr>
              <w:t>需带HDMI接口</w:t>
            </w:r>
          </w:p>
          <w:p w:rsidR="00B6630D" w:rsidRPr="00B6630D" w:rsidRDefault="00B6630D" w:rsidP="00CD41E3">
            <w:pPr>
              <w:shd w:val="clear" w:color="auto" w:fill="FFFFFF"/>
              <w:adjustRightInd/>
              <w:snapToGrid/>
              <w:spacing w:after="0" w:line="440" w:lineRule="atLeast"/>
              <w:ind w:left="360" w:hanging="360"/>
              <w:rPr>
                <w:rFonts w:ascii="宋体" w:eastAsia="宋体" w:hAnsi="宋体" w:cs="宋体"/>
                <w:color w:val="222222"/>
                <w:sz w:val="24"/>
                <w:szCs w:val="24"/>
              </w:rPr>
            </w:pPr>
            <w:r w:rsidRPr="00B6630D">
              <w:rPr>
                <w:rFonts w:ascii="宋体" w:eastAsia="宋体" w:hAnsi="宋体" w:cs="宋体" w:hint="eastAsia"/>
                <w:color w:val="222222"/>
                <w:sz w:val="24"/>
                <w:szCs w:val="24"/>
              </w:rPr>
              <w:t>5、硬盘，256G SSD</w:t>
            </w:r>
          </w:p>
          <w:p w:rsidR="00B6630D" w:rsidRPr="00B6630D" w:rsidRDefault="00791BBD" w:rsidP="00B6630D">
            <w:pPr>
              <w:shd w:val="clear" w:color="auto" w:fill="FFFFFF"/>
              <w:adjustRightInd/>
              <w:snapToGrid/>
              <w:spacing w:after="0" w:line="440" w:lineRule="atLeast"/>
              <w:ind w:left="360" w:hanging="360"/>
              <w:rPr>
                <w:rFonts w:ascii="宋体" w:eastAsia="宋体" w:hAnsi="宋体" w:cs="宋体"/>
                <w:sz w:val="24"/>
                <w:szCs w:val="24"/>
              </w:rPr>
            </w:pPr>
            <w:r>
              <w:rPr>
                <w:rFonts w:ascii="宋体" w:eastAsia="宋体" w:hAnsi="宋体" w:cs="宋体" w:hint="eastAsia"/>
                <w:sz w:val="24"/>
                <w:szCs w:val="24"/>
              </w:rPr>
              <w:t>6</w:t>
            </w:r>
            <w:r w:rsidR="00B6630D" w:rsidRPr="00B6630D">
              <w:rPr>
                <w:rFonts w:ascii="宋体" w:eastAsia="宋体" w:hAnsi="宋体" w:cs="宋体" w:hint="eastAsia"/>
                <w:sz w:val="24"/>
                <w:szCs w:val="24"/>
              </w:rPr>
              <w:t xml:space="preserve">、系统 </w:t>
            </w:r>
            <w:r w:rsidR="00B6630D" w:rsidRPr="00B6630D">
              <w:rPr>
                <w:rFonts w:ascii="宋体" w:eastAsia="宋体" w:hAnsi="宋体" w:hint="eastAsia"/>
                <w:sz w:val="24"/>
                <w:szCs w:val="24"/>
              </w:rPr>
              <w:t>能够安装Winodws 7 64位操作系统</w:t>
            </w:r>
          </w:p>
          <w:p w:rsidR="006F5E08" w:rsidRPr="00B6630D" w:rsidRDefault="00791BBD" w:rsidP="00B6630D">
            <w:pPr>
              <w:shd w:val="clear" w:color="auto" w:fill="FFFFFF"/>
              <w:adjustRightInd/>
              <w:snapToGrid/>
              <w:spacing w:after="0" w:line="440" w:lineRule="atLeast"/>
              <w:ind w:left="360" w:hanging="360"/>
              <w:rPr>
                <w:rFonts w:ascii="宋体" w:eastAsia="宋体" w:hAnsi="宋体" w:cs="宋体"/>
                <w:sz w:val="24"/>
                <w:szCs w:val="24"/>
              </w:rPr>
            </w:pPr>
            <w:r>
              <w:rPr>
                <w:rFonts w:ascii="宋体" w:eastAsia="宋体" w:hAnsi="宋体" w:cs="宋体" w:hint="eastAsia"/>
                <w:color w:val="222222"/>
                <w:sz w:val="24"/>
                <w:szCs w:val="24"/>
              </w:rPr>
              <w:t>7</w:t>
            </w:r>
            <w:r w:rsidR="006F5E08" w:rsidRPr="00B6630D">
              <w:rPr>
                <w:rFonts w:ascii="宋体" w:eastAsia="宋体" w:hAnsi="宋体" w:cs="宋体" w:hint="eastAsia"/>
                <w:color w:val="222222"/>
                <w:sz w:val="24"/>
                <w:szCs w:val="24"/>
              </w:rPr>
              <w:t>、 不需配置光驱</w:t>
            </w:r>
          </w:p>
          <w:p w:rsidR="006F5E08" w:rsidRPr="00D8050A" w:rsidRDefault="00791BBD" w:rsidP="00B6630D">
            <w:pPr>
              <w:shd w:val="clear" w:color="auto" w:fill="FFFFFF"/>
              <w:adjustRightInd/>
              <w:snapToGrid/>
              <w:spacing w:after="0" w:line="440" w:lineRule="atLeast"/>
              <w:ind w:left="360" w:hanging="360"/>
              <w:rPr>
                <w:rFonts w:ascii="宋体" w:eastAsia="宋体" w:hAnsi="宋体" w:cs="宋体"/>
                <w:sz w:val="24"/>
                <w:szCs w:val="24"/>
              </w:rPr>
            </w:pPr>
            <w:r>
              <w:rPr>
                <w:rFonts w:ascii="宋体" w:eastAsia="宋体" w:hAnsi="宋体" w:cs="宋体" w:hint="eastAsia"/>
                <w:color w:val="222222"/>
                <w:sz w:val="24"/>
                <w:szCs w:val="24"/>
              </w:rPr>
              <w:t>8</w:t>
            </w:r>
            <w:r w:rsidR="00B6630D" w:rsidRPr="00B6630D">
              <w:rPr>
                <w:rFonts w:ascii="宋体" w:eastAsia="宋体" w:hAnsi="宋体" w:cs="宋体" w:hint="eastAsia"/>
                <w:color w:val="222222"/>
                <w:sz w:val="24"/>
                <w:szCs w:val="24"/>
              </w:rPr>
              <w:t>、需提供网络同传软件</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60</w:t>
            </w:r>
          </w:p>
        </w:tc>
        <w:tc>
          <w:tcPr>
            <w:tcW w:w="1536" w:type="dxa"/>
            <w:vMerge w:val="restart"/>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 </w:t>
            </w:r>
          </w:p>
        </w:tc>
      </w:tr>
      <w:tr w:rsidR="006F5E08" w:rsidRPr="00D8050A" w:rsidTr="00791BBD">
        <w:trPr>
          <w:trHeight w:val="430"/>
          <w:jc w:val="center"/>
        </w:trPr>
        <w:tc>
          <w:tcPr>
            <w:tcW w:w="0" w:type="auto"/>
            <w:vMerge/>
            <w:vAlign w:val="center"/>
            <w:hideMark/>
          </w:tcPr>
          <w:p w:rsidR="006F5E08" w:rsidRPr="00D8050A" w:rsidRDefault="006F5E08" w:rsidP="00CD41E3">
            <w:pPr>
              <w:adjustRightInd/>
              <w:snapToGrid/>
              <w:spacing w:after="0"/>
              <w:rPr>
                <w:rFonts w:ascii="宋体" w:eastAsia="宋体" w:hAnsi="宋体" w:cs="宋体"/>
                <w:sz w:val="24"/>
                <w:szCs w:val="24"/>
              </w:rPr>
            </w:pPr>
          </w:p>
        </w:tc>
        <w:tc>
          <w:tcPr>
            <w:tcW w:w="0" w:type="auto"/>
            <w:vMerge/>
            <w:vAlign w:val="center"/>
            <w:hideMark/>
          </w:tcPr>
          <w:p w:rsidR="006F5E08" w:rsidRPr="00D8050A" w:rsidRDefault="006F5E08" w:rsidP="00CD41E3">
            <w:pPr>
              <w:adjustRightInd/>
              <w:snapToGrid/>
              <w:spacing w:after="0"/>
              <w:rPr>
                <w:rFonts w:ascii="宋体" w:eastAsia="宋体" w:hAnsi="宋体" w:cs="宋体"/>
                <w:sz w:val="24"/>
                <w:szCs w:val="24"/>
              </w:rPr>
            </w:pPr>
          </w:p>
        </w:tc>
        <w:tc>
          <w:tcPr>
            <w:tcW w:w="5890" w:type="dxa"/>
            <w:shd w:val="clear" w:color="auto" w:fill="auto"/>
            <w:tcMar>
              <w:top w:w="0" w:type="dxa"/>
              <w:left w:w="108" w:type="dxa"/>
              <w:bottom w:w="0" w:type="dxa"/>
              <w:right w:w="108" w:type="dxa"/>
            </w:tcMar>
            <w:hideMark/>
          </w:tcPr>
          <w:p w:rsidR="006F5E08" w:rsidRPr="00D8050A" w:rsidRDefault="006F5E08" w:rsidP="00CD41E3">
            <w:pPr>
              <w:shd w:val="clear" w:color="auto" w:fill="FFFFFF"/>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服务器部分：</w:t>
            </w:r>
          </w:p>
          <w:p w:rsidR="006F5E08" w:rsidRPr="00D8050A" w:rsidRDefault="006F5E08" w:rsidP="00CD41E3">
            <w:pPr>
              <w:shd w:val="clear" w:color="auto" w:fill="FFFFFF"/>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最高可支持65用户并发接入、19英寸工业标准2U机架式服务器、Intel C600芯片组、≥2颗Intel Xeon E5-2680 v2(10核/2.8GHz)、≥160G ECC DDR3（10*16G）、≥16个内存插槽、配备2块160G SSD，用于预装桌面云系统软件；配备≥2块480G SSD，用于缓存桌面云热点数据，配备≥2块2T SATA盘，用于数据存储和备份；≥8个SATA/SAS硬盘插槽、≥6个千兆网口.</w:t>
            </w:r>
          </w:p>
          <w:p w:rsidR="006F5E08" w:rsidRPr="00D8050A" w:rsidRDefault="006F5E08" w:rsidP="00CD41E3">
            <w:pPr>
              <w:shd w:val="clear" w:color="auto" w:fill="FFFFFF"/>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 </w:t>
            </w:r>
          </w:p>
          <w:p w:rsidR="006F5E08" w:rsidRPr="00D8050A" w:rsidRDefault="006F5E08" w:rsidP="00CD41E3">
            <w:pPr>
              <w:shd w:val="clear" w:color="auto" w:fill="FFFFFF"/>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终端部分：</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CPU：ARM Cortex A9 1.6GHz, 4 Cores</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内存：DDR3  1GB</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lastRenderedPageBreak/>
              <w:t>Flash：NAND Flash： 8GB</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以太网络：10/100/1000M自适应RJ45接口</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无线网络（选配）：WIFI 802.11B/G/N（可选配置）</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音频输入：MIC输入口，直径3.5mm</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音频输出：音频输出口，直径3.5mm</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USB：4个USB端口</w:t>
            </w:r>
          </w:p>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调试接口：Mini USB调试接口</w:t>
            </w:r>
          </w:p>
          <w:p w:rsidR="006F5E08" w:rsidRDefault="006F5E08" w:rsidP="00CD41E3">
            <w:pPr>
              <w:shd w:val="clear" w:color="auto" w:fill="FFFFFF"/>
              <w:adjustRightInd/>
              <w:snapToGrid/>
              <w:spacing w:after="0" w:line="440" w:lineRule="atLeast"/>
              <w:rPr>
                <w:rFonts w:ascii="宋体" w:eastAsia="宋体" w:hAnsi="宋体" w:cs="宋体" w:hint="eastAsia"/>
                <w:color w:val="222222"/>
                <w:sz w:val="24"/>
                <w:szCs w:val="24"/>
              </w:rPr>
            </w:pPr>
            <w:r w:rsidRPr="00D8050A">
              <w:rPr>
                <w:rFonts w:ascii="宋体" w:eastAsia="宋体" w:hAnsi="宋体" w:cs="宋体" w:hint="eastAsia"/>
                <w:color w:val="222222"/>
                <w:sz w:val="24"/>
                <w:szCs w:val="24"/>
              </w:rPr>
              <w:t>VGA：最高1920 x 1080，60 Hz；色深：32 bpp</w:t>
            </w:r>
          </w:p>
          <w:p w:rsidR="006926B1" w:rsidRPr="00D8050A" w:rsidRDefault="006926B1" w:rsidP="00CD41E3">
            <w:pPr>
              <w:shd w:val="clear" w:color="auto" w:fill="FFFFFF"/>
              <w:adjustRightInd/>
              <w:snapToGrid/>
              <w:spacing w:after="0" w:line="440" w:lineRule="atLeast"/>
              <w:rPr>
                <w:rFonts w:ascii="宋体" w:eastAsia="宋体" w:hAnsi="宋体" w:cs="宋体"/>
                <w:sz w:val="24"/>
                <w:szCs w:val="24"/>
              </w:rPr>
            </w:pPr>
            <w:r>
              <w:rPr>
                <w:rFonts w:ascii="宋体" w:eastAsia="宋体" w:hAnsi="宋体" w:cs="宋体" w:hint="eastAsia"/>
                <w:color w:val="222222"/>
                <w:sz w:val="24"/>
                <w:szCs w:val="24"/>
              </w:rPr>
              <w:t>同时提供该实验室所需的交换机、路由器、辅材等</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lastRenderedPageBreak/>
              <w:t>60</w:t>
            </w:r>
          </w:p>
        </w:tc>
        <w:tc>
          <w:tcPr>
            <w:tcW w:w="0" w:type="auto"/>
            <w:vMerge/>
            <w:vAlign w:val="center"/>
            <w:hideMark/>
          </w:tcPr>
          <w:p w:rsidR="006F5E08" w:rsidRPr="00D8050A" w:rsidRDefault="006F5E08" w:rsidP="00CD41E3">
            <w:pPr>
              <w:adjustRightInd/>
              <w:snapToGrid/>
              <w:spacing w:after="0"/>
              <w:rPr>
                <w:rFonts w:ascii="宋体" w:eastAsia="宋体" w:hAnsi="宋体" w:cs="宋体"/>
                <w:sz w:val="24"/>
                <w:szCs w:val="24"/>
              </w:rPr>
            </w:pPr>
          </w:p>
        </w:tc>
      </w:tr>
      <w:tr w:rsidR="006F5E08" w:rsidRPr="00D8050A" w:rsidTr="00791BBD">
        <w:trPr>
          <w:trHeight w:val="953"/>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lastRenderedPageBreak/>
              <w:t>2</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教学管</w:t>
            </w:r>
          </w:p>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理软件</w:t>
            </w:r>
          </w:p>
        </w:tc>
        <w:tc>
          <w:tcPr>
            <w:tcW w:w="589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支持30项以上主要教学管理功能，功能涉及课程准备、课堂授课、课堂纪律、课堂互动、练习指导、复习测试等各个环节</w:t>
            </w:r>
          </w:p>
        </w:tc>
        <w:tc>
          <w:tcPr>
            <w:tcW w:w="815" w:type="dxa"/>
            <w:shd w:val="clear" w:color="auto" w:fill="auto"/>
            <w:tcMar>
              <w:top w:w="0" w:type="dxa"/>
              <w:left w:w="108" w:type="dxa"/>
              <w:bottom w:w="0" w:type="dxa"/>
              <w:right w:w="108" w:type="dxa"/>
            </w:tcMar>
            <w:vAlign w:val="center"/>
            <w:hideMark/>
          </w:tcPr>
          <w:p w:rsidR="006F5E08" w:rsidRPr="00D8050A" w:rsidRDefault="00791BBD" w:rsidP="00CD41E3">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222222"/>
                <w:sz w:val="24"/>
                <w:szCs w:val="24"/>
              </w:rPr>
              <w:t>1</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 </w:t>
            </w:r>
          </w:p>
        </w:tc>
      </w:tr>
      <w:tr w:rsidR="006F5E08" w:rsidRPr="00D8050A" w:rsidTr="00791BBD">
        <w:trPr>
          <w:trHeight w:val="1188"/>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3</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学生机显示器</w:t>
            </w:r>
          </w:p>
        </w:tc>
        <w:tc>
          <w:tcPr>
            <w:tcW w:w="5890" w:type="dxa"/>
            <w:shd w:val="clear" w:color="auto" w:fill="auto"/>
            <w:tcMar>
              <w:top w:w="0" w:type="dxa"/>
              <w:left w:w="108" w:type="dxa"/>
              <w:bottom w:w="0" w:type="dxa"/>
              <w:right w:w="108" w:type="dxa"/>
            </w:tcMar>
            <w:vAlign w:val="center"/>
            <w:hideMark/>
          </w:tcPr>
          <w:p w:rsidR="006F5E08" w:rsidRPr="00D8050A" w:rsidRDefault="006F5E08" w:rsidP="00791BBD">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LED显示器，2</w:t>
            </w:r>
            <w:r w:rsidR="00791BBD">
              <w:rPr>
                <w:rFonts w:ascii="宋体" w:eastAsia="宋体" w:hAnsi="宋体" w:cs="宋体" w:hint="eastAsia"/>
                <w:color w:val="222222"/>
                <w:sz w:val="24"/>
                <w:szCs w:val="24"/>
              </w:rPr>
              <w:t>2</w:t>
            </w:r>
            <w:r w:rsidRPr="00D8050A">
              <w:rPr>
                <w:rFonts w:ascii="宋体" w:eastAsia="宋体" w:hAnsi="宋体" w:cs="宋体" w:hint="eastAsia"/>
                <w:color w:val="222222"/>
                <w:sz w:val="24"/>
                <w:szCs w:val="24"/>
              </w:rPr>
              <w:t>英寸，最佳分辨率1920x1080， 高清标准：1080p（全高清）</w:t>
            </w:r>
          </w:p>
        </w:tc>
        <w:tc>
          <w:tcPr>
            <w:tcW w:w="815" w:type="dxa"/>
            <w:shd w:val="clear" w:color="auto" w:fill="auto"/>
            <w:tcMar>
              <w:top w:w="0" w:type="dxa"/>
              <w:left w:w="108" w:type="dxa"/>
              <w:bottom w:w="0" w:type="dxa"/>
              <w:right w:w="108" w:type="dxa"/>
            </w:tcMar>
            <w:vAlign w:val="center"/>
            <w:hideMark/>
          </w:tcPr>
          <w:p w:rsidR="006F5E08" w:rsidRPr="00D8050A" w:rsidRDefault="00791BBD" w:rsidP="00CD41E3">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0000FF"/>
                <w:sz w:val="24"/>
                <w:szCs w:val="24"/>
              </w:rPr>
              <w:t>32</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AOC\Dell\hp等知名品牌</w:t>
            </w:r>
          </w:p>
        </w:tc>
      </w:tr>
      <w:tr w:rsidR="006F5E08" w:rsidRPr="00D8050A" w:rsidTr="00791BBD">
        <w:trPr>
          <w:trHeight w:val="749"/>
          <w:jc w:val="center"/>
        </w:trPr>
        <w:tc>
          <w:tcPr>
            <w:tcW w:w="860" w:type="dxa"/>
            <w:shd w:val="clear" w:color="auto" w:fill="auto"/>
            <w:tcMar>
              <w:top w:w="0" w:type="dxa"/>
              <w:left w:w="108" w:type="dxa"/>
              <w:bottom w:w="0" w:type="dxa"/>
              <w:right w:w="108" w:type="dxa"/>
            </w:tcMar>
            <w:vAlign w:val="center"/>
            <w:hideMark/>
          </w:tcPr>
          <w:p w:rsidR="006F5E08" w:rsidRPr="00D8050A" w:rsidRDefault="00791BBD" w:rsidP="00CD41E3">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222222"/>
                <w:sz w:val="24"/>
                <w:szCs w:val="24"/>
              </w:rPr>
              <w:t>4</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键盘鼠标</w:t>
            </w:r>
          </w:p>
        </w:tc>
        <w:tc>
          <w:tcPr>
            <w:tcW w:w="5890" w:type="dxa"/>
            <w:shd w:val="clear" w:color="auto" w:fill="auto"/>
            <w:tcMar>
              <w:top w:w="0" w:type="dxa"/>
              <w:left w:w="108" w:type="dxa"/>
              <w:bottom w:w="0" w:type="dxa"/>
              <w:right w:w="108" w:type="dxa"/>
            </w:tcMar>
            <w:vAlign w:val="center"/>
            <w:hideMark/>
          </w:tcPr>
          <w:p w:rsidR="006F5E08" w:rsidRPr="00D8050A" w:rsidRDefault="00791BBD" w:rsidP="00CD41E3">
            <w:pPr>
              <w:adjustRightInd/>
              <w:snapToGrid/>
              <w:spacing w:after="0" w:line="440" w:lineRule="atLeast"/>
              <w:rPr>
                <w:rFonts w:ascii="宋体" w:eastAsia="宋体" w:hAnsi="宋体" w:cs="宋体"/>
                <w:sz w:val="24"/>
                <w:szCs w:val="24"/>
              </w:rPr>
            </w:pPr>
            <w:r>
              <w:rPr>
                <w:rFonts w:ascii="宋体" w:eastAsia="宋体" w:hAnsi="宋体" w:cs="宋体" w:hint="eastAsia"/>
                <w:color w:val="222222"/>
                <w:sz w:val="24"/>
                <w:szCs w:val="24"/>
              </w:rPr>
              <w:t>能支持同传软件的</w:t>
            </w:r>
            <w:r w:rsidR="006F5E08" w:rsidRPr="00D8050A">
              <w:rPr>
                <w:rFonts w:ascii="宋体" w:eastAsia="宋体" w:hAnsi="宋体" w:cs="宋体" w:hint="eastAsia"/>
                <w:color w:val="222222"/>
                <w:sz w:val="24"/>
                <w:szCs w:val="24"/>
              </w:rPr>
              <w:t>USB接口鼠标</w:t>
            </w:r>
          </w:p>
        </w:tc>
        <w:tc>
          <w:tcPr>
            <w:tcW w:w="815" w:type="dxa"/>
            <w:shd w:val="clear" w:color="auto" w:fill="auto"/>
            <w:tcMar>
              <w:top w:w="0" w:type="dxa"/>
              <w:left w:w="108" w:type="dxa"/>
              <w:bottom w:w="0" w:type="dxa"/>
              <w:right w:w="108" w:type="dxa"/>
            </w:tcMar>
            <w:vAlign w:val="center"/>
            <w:hideMark/>
          </w:tcPr>
          <w:p w:rsidR="006F5E08" w:rsidRPr="00D8050A" w:rsidRDefault="00791BBD" w:rsidP="00CD41E3">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0000FF"/>
                <w:sz w:val="24"/>
                <w:szCs w:val="24"/>
              </w:rPr>
              <w:t>32</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 </w:t>
            </w:r>
          </w:p>
        </w:tc>
      </w:tr>
      <w:tr w:rsidR="006F5E08" w:rsidRPr="00D8050A" w:rsidTr="00791BBD">
        <w:trPr>
          <w:trHeight w:val="749"/>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6</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综合布线施工</w:t>
            </w:r>
          </w:p>
        </w:tc>
        <w:tc>
          <w:tcPr>
            <w:tcW w:w="589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普利驰六类线，防火桥架、、PVC管、电线、电源插板，布线耗材一批（水晶头、线卡、转接头等）</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000000"/>
                <w:sz w:val="24"/>
                <w:szCs w:val="24"/>
              </w:rPr>
              <w:t>10个点</w:t>
            </w:r>
          </w:p>
        </w:tc>
        <w:tc>
          <w:tcPr>
            <w:tcW w:w="1536" w:type="dxa"/>
            <w:shd w:val="clear" w:color="auto" w:fill="auto"/>
            <w:tcMar>
              <w:top w:w="0" w:type="dxa"/>
              <w:left w:w="108" w:type="dxa"/>
              <w:bottom w:w="0" w:type="dxa"/>
              <w:right w:w="108" w:type="dxa"/>
            </w:tcMar>
            <w:vAlign w:val="center"/>
            <w:hideMark/>
          </w:tcPr>
          <w:p w:rsidR="006F5E08" w:rsidRPr="00D8050A" w:rsidRDefault="005C03F3" w:rsidP="00CD41E3">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000000"/>
                <w:sz w:val="24"/>
                <w:szCs w:val="24"/>
              </w:rPr>
              <w:t>不得外包，应具有独立建设能力</w:t>
            </w:r>
          </w:p>
        </w:tc>
      </w:tr>
      <w:tr w:rsidR="006F5E08" w:rsidRPr="00D8050A" w:rsidTr="00791BBD">
        <w:trPr>
          <w:trHeight w:val="487"/>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7</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交换机</w:t>
            </w:r>
          </w:p>
        </w:tc>
        <w:tc>
          <w:tcPr>
            <w:tcW w:w="589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三层交换机</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0000FF"/>
                <w:sz w:val="24"/>
                <w:szCs w:val="24"/>
              </w:rPr>
              <w:t>4</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华为</w:t>
            </w:r>
          </w:p>
        </w:tc>
      </w:tr>
      <w:tr w:rsidR="006F5E08" w:rsidRPr="00D8050A" w:rsidTr="00791BBD">
        <w:trPr>
          <w:trHeight w:val="477"/>
          <w:jc w:val="center"/>
        </w:trPr>
        <w:tc>
          <w:tcPr>
            <w:tcW w:w="86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9</w:t>
            </w:r>
          </w:p>
        </w:tc>
        <w:tc>
          <w:tcPr>
            <w:tcW w:w="1024"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电脑桌椅</w:t>
            </w:r>
          </w:p>
        </w:tc>
        <w:tc>
          <w:tcPr>
            <w:tcW w:w="5890"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222222"/>
                <w:sz w:val="24"/>
                <w:szCs w:val="24"/>
              </w:rPr>
              <w:t> </w:t>
            </w:r>
          </w:p>
        </w:tc>
        <w:tc>
          <w:tcPr>
            <w:tcW w:w="815"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0000FF"/>
                <w:sz w:val="24"/>
                <w:szCs w:val="24"/>
              </w:rPr>
              <w:t>10</w:t>
            </w:r>
          </w:p>
        </w:tc>
        <w:tc>
          <w:tcPr>
            <w:tcW w:w="1536" w:type="dxa"/>
            <w:shd w:val="clear" w:color="auto" w:fill="auto"/>
            <w:tcMar>
              <w:top w:w="0" w:type="dxa"/>
              <w:left w:w="108" w:type="dxa"/>
              <w:bottom w:w="0" w:type="dxa"/>
              <w:right w:w="108" w:type="dxa"/>
            </w:tcMar>
            <w:vAlign w:val="center"/>
            <w:hideMark/>
          </w:tcPr>
          <w:p w:rsidR="006F5E08" w:rsidRPr="00D8050A" w:rsidRDefault="006F5E08" w:rsidP="00CD41E3">
            <w:pPr>
              <w:adjustRightInd/>
              <w:snapToGrid/>
              <w:spacing w:after="0" w:line="440" w:lineRule="atLeast"/>
              <w:jc w:val="center"/>
              <w:rPr>
                <w:rFonts w:ascii="宋体" w:eastAsia="宋体" w:hAnsi="宋体" w:cs="宋体"/>
                <w:sz w:val="24"/>
                <w:szCs w:val="24"/>
              </w:rPr>
            </w:pPr>
            <w:r w:rsidRPr="00D8050A">
              <w:rPr>
                <w:rFonts w:ascii="宋体" w:eastAsia="宋体" w:hAnsi="宋体" w:cs="宋体" w:hint="eastAsia"/>
                <w:color w:val="222222"/>
                <w:sz w:val="24"/>
                <w:szCs w:val="24"/>
              </w:rPr>
              <w:t>要求与现在实验室中颜色接近</w:t>
            </w:r>
          </w:p>
        </w:tc>
      </w:tr>
    </w:tbl>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lastRenderedPageBreak/>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8E" w:rsidRDefault="0069398E" w:rsidP="00435E36">
      <w:pPr>
        <w:spacing w:after="0"/>
      </w:pPr>
      <w:r>
        <w:separator/>
      </w:r>
    </w:p>
  </w:endnote>
  <w:endnote w:type="continuationSeparator" w:id="0">
    <w:p w:rsidR="0069398E" w:rsidRDefault="0069398E"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8E" w:rsidRDefault="0069398E" w:rsidP="00435E36">
      <w:pPr>
        <w:spacing w:after="0"/>
      </w:pPr>
      <w:r>
        <w:separator/>
      </w:r>
    </w:p>
  </w:footnote>
  <w:footnote w:type="continuationSeparator" w:id="0">
    <w:p w:rsidR="0069398E" w:rsidRDefault="0069398E"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185782"/>
    <w:rsid w:val="003928FD"/>
    <w:rsid w:val="003C6E2E"/>
    <w:rsid w:val="00435E36"/>
    <w:rsid w:val="005136BC"/>
    <w:rsid w:val="005C03F3"/>
    <w:rsid w:val="006926B1"/>
    <w:rsid w:val="0069398E"/>
    <w:rsid w:val="006C1FBF"/>
    <w:rsid w:val="006F5E08"/>
    <w:rsid w:val="00757A9C"/>
    <w:rsid w:val="00791BBD"/>
    <w:rsid w:val="008B656B"/>
    <w:rsid w:val="009647E7"/>
    <w:rsid w:val="00AB0882"/>
    <w:rsid w:val="00B04F0E"/>
    <w:rsid w:val="00B6630D"/>
    <w:rsid w:val="00BA12C4"/>
    <w:rsid w:val="00CC572E"/>
    <w:rsid w:val="00E41667"/>
    <w:rsid w:val="00F27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6</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2017-09-13T08:03:00Z</dcterms:created>
  <dcterms:modified xsi:type="dcterms:W3CDTF">2017-10-12T01:31:00Z</dcterms:modified>
</cp:coreProperties>
</file>